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18"/>
        <w:jc w:val="center"/>
        <w:rPr>
          <w:rFonts w:hint="eastAsia" w:ascii="方正小标宋_GBK" w:hAnsi="方正小标宋_GBK" w:eastAsia="方正小标宋_GBK" w:cs="方正小标宋_GBK"/>
          <w:color w:val="FF0000"/>
          <w:spacing w:val="20"/>
          <w:w w:val="60"/>
          <w:sz w:val="132"/>
          <w:szCs w:val="140"/>
        </w:rPr>
      </w:pPr>
      <w:r>
        <w:rPr>
          <w:rFonts w:hint="eastAsia" w:ascii="方正小标宋_GBK" w:hAnsi="方正小标宋_GBK" w:eastAsia="方正小标宋_GBK" w:cs="方正小标宋_GBK"/>
          <w:spacing w:val="20"/>
          <w:sz w:val="13"/>
        </w:rPr>
        <w:pict>
          <v:line id="_x0000_s2059" o:spid="_x0000_s2059" o:spt="20" style="position:absolute;left:0pt;margin-left:7.85pt;margin-top:90.05pt;height:0pt;width:409.5pt;z-index:251659264;mso-width-relative:page;mso-height-relative:page;" stroked="t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eastAsia" w:ascii="方正小标宋_GBK" w:hAnsi="方正小标宋_GBK" w:eastAsia="方正小标宋_GBK" w:cs="方正小标宋_GBK"/>
          <w:color w:val="FF0000"/>
          <w:spacing w:val="20"/>
          <w:w w:val="60"/>
          <w:sz w:val="132"/>
          <w:szCs w:val="140"/>
        </w:rPr>
        <w:t>湖 北 省 粮 食 局</w:t>
      </w:r>
    </w:p>
    <w:p>
      <w:pPr>
        <w:snapToGrid w:val="0"/>
        <w:spacing w:line="336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湖北省粮食局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2019年度政府信息公开工作报告</w:t>
      </w:r>
    </w:p>
    <w:p>
      <w:pPr>
        <w:rPr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本报告根据《中华人民共和国政府信息公开条例》（以下简称《条例》）要求，由湖北省粮食局编制。本年度报告中使用数据统计期限为</w:t>
      </w:r>
      <w:r>
        <w:rPr>
          <w:rFonts w:ascii="仿宋_GB2312" w:eastAsia="仿宋_GB2312"/>
          <w:color w:val="000000"/>
          <w:sz w:val="32"/>
          <w:szCs w:val="32"/>
        </w:rPr>
        <w:t>2019年1月1日至2019年12月31日。本报告可以从</w:t>
      </w:r>
      <w:r>
        <w:rPr>
          <w:rFonts w:hint="eastAsia" w:ascii="仿宋_GB2312" w:eastAsia="仿宋_GB2312"/>
          <w:color w:val="000000"/>
          <w:sz w:val="32"/>
          <w:szCs w:val="32"/>
        </w:rPr>
        <w:t>湖北省粮食局</w:t>
      </w:r>
      <w:r>
        <w:rPr>
          <w:rFonts w:ascii="仿宋_GB2312" w:eastAsia="仿宋_GB2312"/>
          <w:color w:val="000000"/>
          <w:sz w:val="32"/>
          <w:szCs w:val="32"/>
        </w:rPr>
        <w:t>网站（http://</w:t>
      </w:r>
      <w:r>
        <w:rPr>
          <w:rFonts w:hint="eastAsia" w:ascii="仿宋_GB2312" w:eastAsia="仿宋_GB2312"/>
          <w:color w:val="000000"/>
          <w:sz w:val="32"/>
          <w:szCs w:val="32"/>
        </w:rPr>
        <w:t>lsj</w:t>
      </w:r>
      <w:r>
        <w:rPr>
          <w:rFonts w:ascii="仿宋_GB2312" w:eastAsia="仿宋_GB2312"/>
          <w:color w:val="000000"/>
          <w:sz w:val="32"/>
          <w:szCs w:val="32"/>
        </w:rPr>
        <w:t>.hubei.gov.cn）下载。如对本报告有任何疑问，请联系</w:t>
      </w:r>
      <w:r>
        <w:rPr>
          <w:rFonts w:hint="eastAsia" w:ascii="仿宋_GB2312" w:eastAsia="仿宋_GB2312"/>
          <w:color w:val="000000"/>
          <w:sz w:val="32"/>
          <w:szCs w:val="32"/>
        </w:rPr>
        <w:t>省粮食局</w:t>
      </w:r>
      <w:r>
        <w:rPr>
          <w:rFonts w:ascii="仿宋_GB2312" w:eastAsia="仿宋_GB2312"/>
          <w:color w:val="000000"/>
          <w:sz w:val="32"/>
          <w:szCs w:val="32"/>
        </w:rPr>
        <w:t>办公室（地址：</w:t>
      </w:r>
      <w:r>
        <w:rPr>
          <w:rFonts w:hint="eastAsia" w:ascii="仿宋_GB2312" w:eastAsia="仿宋_GB2312"/>
          <w:color w:val="000000"/>
          <w:sz w:val="32"/>
          <w:szCs w:val="32"/>
        </w:rPr>
        <w:t>湖北省武汉市武昌区中华路3</w:t>
      </w: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  <w:r>
        <w:rPr>
          <w:rFonts w:ascii="仿宋_GB2312" w:eastAsia="仿宋_GB2312"/>
          <w:color w:val="000000"/>
          <w:sz w:val="32"/>
          <w:szCs w:val="32"/>
        </w:rPr>
        <w:t>，邮编430061；电话027</w:t>
      </w:r>
      <w:r>
        <w:rPr>
          <w:rFonts w:hint="eastAsia" w:ascii="仿宋_GB2312" w:eastAsia="仿宋_GB2312"/>
          <w:color w:val="000000"/>
          <w:sz w:val="32"/>
          <w:szCs w:val="32"/>
        </w:rPr>
        <w:t>-</w:t>
      </w:r>
      <w:r>
        <w:rPr>
          <w:rFonts w:ascii="仿宋_GB2312" w:eastAsia="仿宋_GB2312"/>
          <w:color w:val="000000"/>
          <w:sz w:val="32"/>
          <w:szCs w:val="32"/>
        </w:rPr>
        <w:t>88874533；电子邮箱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hbslsjbgs@hblsj.gov.cn</w:t>
      </w:r>
      <w:r>
        <w:rPr>
          <w:rFonts w:ascii="仿宋_GB2312" w:eastAsia="仿宋_GB2312"/>
          <w:color w:val="000000"/>
          <w:sz w:val="32"/>
          <w:szCs w:val="32"/>
        </w:rPr>
        <w:t>）。</w:t>
      </w:r>
    </w:p>
    <w:p>
      <w:pPr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一、总体情况</w:t>
      </w:r>
    </w:p>
    <w:p>
      <w:pPr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019</w:t>
      </w:r>
      <w:r>
        <w:rPr>
          <w:rFonts w:hint="eastAsia" w:ascii="仿宋_GB2312" w:eastAsia="仿宋_GB2312"/>
          <w:color w:val="000000"/>
          <w:sz w:val="32"/>
          <w:szCs w:val="32"/>
        </w:rPr>
        <w:t>年省粮食局按照《条例》规定和《省政务管理办关于印发</w:t>
      </w:r>
      <w:r>
        <w:rPr>
          <w:rFonts w:ascii="仿宋_GB2312" w:eastAsia="仿宋_GB2312"/>
          <w:color w:val="000000"/>
          <w:sz w:val="32"/>
          <w:szCs w:val="32"/>
        </w:rPr>
        <w:t>2019年湖北省政务公开工作要点的通知</w:t>
      </w:r>
      <w:r>
        <w:rPr>
          <w:rFonts w:hint="eastAsia" w:ascii="仿宋_GB2312" w:eastAsia="仿宋_GB2312"/>
          <w:color w:val="000000"/>
          <w:sz w:val="32"/>
          <w:szCs w:val="32"/>
        </w:rPr>
        <w:t>》（鄂政管办发</w:t>
      </w:r>
      <w:r>
        <w:rPr>
          <w:rFonts w:ascii="仿宋_GB2312" w:eastAsia="仿宋_GB2312"/>
          <w:color w:val="000000"/>
          <w:sz w:val="32"/>
          <w:szCs w:val="32"/>
        </w:rPr>
        <w:t xml:space="preserve"> 〔2019〕3号</w:t>
      </w:r>
      <w:r>
        <w:rPr>
          <w:rFonts w:hint="eastAsia" w:ascii="仿宋_GB2312" w:eastAsia="仿宋_GB2312"/>
          <w:color w:val="000000"/>
          <w:sz w:val="32"/>
          <w:szCs w:val="32"/>
        </w:rPr>
        <w:t>）要求，全面深入贯彻党的十九大和十九届二中、三中、四中全会精神，以习近平新时代中国特色社会主义思想为指导，围绕高质量发展、“三大攻坚战”、深化“放管服”改革等党中央、国务院重大决策部署，立足粮食行业实际，全面推进决策、执行、管理、服务、结果公开，不断提升政务公开的质量和实效。</w:t>
      </w:r>
    </w:p>
    <w:p>
      <w:pPr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</w:t>
      </w:r>
      <w:r>
        <w:rPr>
          <w:rFonts w:hint="eastAsia" w:ascii="楷体_GB2312" w:eastAsia="楷体_GB2312"/>
          <w:color w:val="000000"/>
          <w:sz w:val="32"/>
          <w:szCs w:val="32"/>
        </w:rPr>
        <w:t>加强门户网站平台建设。</w:t>
      </w:r>
      <w:r>
        <w:rPr>
          <w:rFonts w:hint="eastAsia" w:ascii="仿宋_GB2312" w:eastAsia="仿宋_GB2312"/>
          <w:color w:val="000000"/>
          <w:sz w:val="32"/>
          <w:szCs w:val="32"/>
        </w:rPr>
        <w:t>省粮食局门户网站于2</w:t>
      </w:r>
      <w:r>
        <w:rPr>
          <w:rFonts w:ascii="仿宋_GB2312" w:eastAsia="仿宋_GB2312"/>
          <w:color w:val="000000"/>
          <w:sz w:val="32"/>
          <w:szCs w:val="32"/>
        </w:rPr>
        <w:t>019</w:t>
      </w:r>
      <w:r>
        <w:rPr>
          <w:rFonts w:hint="eastAsia" w:ascii="仿宋_GB2312" w:eastAsia="仿宋_GB2312"/>
          <w:color w:val="000000"/>
          <w:sz w:val="32"/>
          <w:szCs w:val="32"/>
        </w:rPr>
        <w:t>年1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结合网站集约化的要求</w:t>
      </w:r>
      <w:r>
        <w:rPr>
          <w:rFonts w:hint="eastAsia" w:ascii="仿宋_GB2312" w:eastAsia="仿宋_GB2312"/>
          <w:color w:val="000000"/>
          <w:sz w:val="32"/>
          <w:szCs w:val="32"/>
        </w:rPr>
        <w:t>完成了</w:t>
      </w:r>
      <w:r>
        <w:rPr>
          <w:rFonts w:ascii="仿宋_GB2312" w:eastAsia="仿宋_GB2312"/>
          <w:color w:val="000000"/>
          <w:sz w:val="32"/>
          <w:szCs w:val="32"/>
        </w:rPr>
        <w:t>第四次改版</w:t>
      </w:r>
      <w:r>
        <w:rPr>
          <w:rFonts w:hint="eastAsia" w:ascii="仿宋_GB2312" w:eastAsia="仿宋_GB2312"/>
          <w:color w:val="000000"/>
          <w:sz w:val="32"/>
          <w:szCs w:val="32"/>
        </w:rPr>
        <w:t>，并集约到全省统一平台</w:t>
      </w:r>
      <w:r>
        <w:rPr>
          <w:rFonts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初步形成了信息发布、在线办事、政务公开、公众互动、公共资源共享系统，成为粮食信息公开的主要渠道和服务公众、听取民意、与公众交流互动的重要平台。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 xml:space="preserve"> （二）深化“放管服”改革。</w:t>
      </w:r>
      <w:r>
        <w:rPr>
          <w:rFonts w:hint="eastAsia" w:ascii="仿宋_GB2312" w:eastAsia="仿宋_GB2312"/>
          <w:color w:val="000000"/>
          <w:sz w:val="32"/>
          <w:szCs w:val="32"/>
        </w:rPr>
        <w:t>完成与省政务服务网的对接，重新梳理行政权力，省本级行政处罚事项1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项（新增1项）、行政检查事项2项（新增）、公共服务事项6项（减少9项），全部上线上网并在省粮食局网站设置跳转入口。粮食收购资格证办理行政审批事项下放市县实施，省级负责统筹指导协调。</w:t>
      </w:r>
      <w:r>
        <w:rPr>
          <w:rFonts w:ascii="仿宋_GB2312" w:eastAsia="仿宋_GB2312"/>
          <w:color w:val="000000"/>
          <w:sz w:val="32"/>
          <w:szCs w:val="32"/>
        </w:rPr>
        <w:t>落实与“一网通办”相配套的电子证照</w:t>
      </w:r>
      <w:r>
        <w:rPr>
          <w:rFonts w:hint="eastAsia" w:ascii="仿宋_GB2312" w:eastAsia="仿宋_GB2312"/>
          <w:color w:val="000000"/>
          <w:sz w:val="32"/>
          <w:szCs w:val="32"/>
        </w:rPr>
        <w:t>（印章）</w:t>
      </w:r>
      <w:r>
        <w:rPr>
          <w:rFonts w:ascii="仿宋_GB2312" w:eastAsia="仿宋_GB2312"/>
          <w:color w:val="000000"/>
          <w:sz w:val="32"/>
          <w:szCs w:val="32"/>
        </w:rPr>
        <w:t>建设、数据资源梳理对接等工作，为</w:t>
      </w:r>
      <w:r>
        <w:rPr>
          <w:rFonts w:hint="eastAsia" w:ascii="仿宋_GB2312" w:eastAsia="仿宋_GB2312"/>
          <w:color w:val="000000"/>
          <w:sz w:val="32"/>
          <w:szCs w:val="32"/>
        </w:rPr>
        <w:t>群众</w:t>
      </w:r>
      <w:r>
        <w:rPr>
          <w:rFonts w:ascii="仿宋_GB2312" w:eastAsia="仿宋_GB2312"/>
          <w:color w:val="000000"/>
          <w:sz w:val="32"/>
          <w:szCs w:val="32"/>
        </w:rPr>
        <w:t>网上办事提供更便捷高效的服务。</w:t>
      </w:r>
    </w:p>
    <w:p>
      <w:pPr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</w:t>
      </w:r>
      <w:r>
        <w:rPr>
          <w:rFonts w:ascii="楷体_GB2312" w:eastAsia="楷体_GB2312"/>
          <w:color w:val="000000"/>
          <w:sz w:val="32"/>
          <w:szCs w:val="32"/>
        </w:rPr>
        <w:t>三</w:t>
      </w:r>
      <w:r>
        <w:rPr>
          <w:rFonts w:hint="eastAsia" w:ascii="楷体_GB2312" w:eastAsia="楷体_GB2312"/>
          <w:color w:val="000000"/>
          <w:sz w:val="32"/>
          <w:szCs w:val="32"/>
        </w:rPr>
        <w:t>）</w:t>
      </w:r>
      <w:r>
        <w:rPr>
          <w:rFonts w:ascii="楷体_GB2312" w:eastAsia="楷体_GB2312"/>
          <w:color w:val="000000"/>
          <w:sz w:val="32"/>
          <w:szCs w:val="32"/>
        </w:rPr>
        <w:t>加强政务公开机制建设。</w:t>
      </w:r>
      <w:r>
        <w:rPr>
          <w:rFonts w:hint="eastAsia" w:ascii="仿宋_GB2312" w:eastAsia="仿宋_GB2312"/>
          <w:color w:val="000000"/>
          <w:sz w:val="32"/>
          <w:szCs w:val="32"/>
        </w:rPr>
        <w:t>按照《条例》重新编制了政务信息公开指南（2019年版），</w:t>
      </w:r>
      <w:r>
        <w:rPr>
          <w:rFonts w:ascii="仿宋_GB2312" w:eastAsia="仿宋_GB2312"/>
          <w:color w:val="000000"/>
          <w:sz w:val="32"/>
          <w:szCs w:val="32"/>
        </w:rPr>
        <w:t>进一步规范完善依申请公开的受理和答复程序，实现流程标准化和全过程监控，保证各类申请能够依法受理，</w:t>
      </w:r>
      <w:r>
        <w:rPr>
          <w:rFonts w:hint="eastAsia" w:ascii="仿宋_GB2312" w:eastAsia="仿宋_GB2312"/>
          <w:color w:val="000000"/>
          <w:sz w:val="32"/>
          <w:szCs w:val="32"/>
        </w:rPr>
        <w:t>及时答复，</w:t>
      </w:r>
      <w:r>
        <w:rPr>
          <w:rFonts w:ascii="仿宋_GB2312" w:eastAsia="仿宋_GB2312"/>
          <w:color w:val="000000"/>
          <w:sz w:val="32"/>
          <w:szCs w:val="32"/>
        </w:rPr>
        <w:t>按期办结，充分发挥政府信息公开对经济社会活动和公众生活的服务作用。严格执行信息上网保密审查制度，确保网站信息安全。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二、主动公开政府信息情况</w:t>
      </w:r>
    </w:p>
    <w:p>
      <w:pPr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截止到</w:t>
      </w:r>
      <w:r>
        <w:rPr>
          <w:rFonts w:ascii="仿宋_GB2312" w:eastAsia="仿宋_GB2312"/>
          <w:color w:val="000000"/>
          <w:sz w:val="32"/>
          <w:szCs w:val="32"/>
        </w:rPr>
        <w:t>2019年12月31日，我局共主动向社会公开粮食工作方面的信息2000余条，访问量累计达80多万人次，网站共发布信息13</w:t>
      </w:r>
      <w:r>
        <w:rPr>
          <w:rFonts w:hint="eastAsia" w:ascii="仿宋_GB2312" w:eastAsia="仿宋_GB2312"/>
          <w:color w:val="000000"/>
          <w:sz w:val="32"/>
          <w:szCs w:val="32"/>
        </w:rPr>
        <w:t>18</w:t>
      </w:r>
      <w:r>
        <w:rPr>
          <w:rFonts w:ascii="仿宋_GB2312" w:eastAsia="仿宋_GB2312"/>
          <w:color w:val="000000"/>
          <w:sz w:val="32"/>
          <w:szCs w:val="32"/>
        </w:rPr>
        <w:t>条。</w:t>
      </w:r>
    </w:p>
    <w:p>
      <w:pPr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（一）公开形式 。</w:t>
      </w:r>
      <w:r>
        <w:rPr>
          <w:rFonts w:hint="eastAsia" w:ascii="仿宋_GB2312" w:eastAsia="仿宋_GB2312"/>
          <w:color w:val="000000"/>
          <w:sz w:val="32"/>
          <w:szCs w:val="32"/>
        </w:rPr>
        <w:t>通过省局网站动态发布、印发文件、召开新闻发布会等形式主动公开政务信息。</w:t>
      </w:r>
      <w:r>
        <w:rPr>
          <w:rFonts w:ascii="仿宋_GB2312" w:eastAsia="仿宋_GB2312"/>
          <w:color w:val="000000"/>
          <w:sz w:val="32"/>
          <w:szCs w:val="32"/>
        </w:rPr>
        <w:t>在省粮食局网站设立信息公开指南栏目，公众通过子栏目可以查阅主动公开的政府信息。在省粮食局办公室设立了政府信息公开查阅点，为公众提供局机关主动公开的政府信息。在省粮食局网站</w:t>
      </w:r>
      <w:r>
        <w:rPr>
          <w:rFonts w:hint="eastAsia" w:ascii="仿宋_GB2312" w:eastAsia="仿宋_GB2312"/>
          <w:color w:val="000000"/>
          <w:sz w:val="32"/>
          <w:szCs w:val="32"/>
        </w:rPr>
        <w:t>设立依申请公开入口，完善细化了依申请公开流程。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（二）公开的主要内容。</w:t>
      </w:r>
      <w:r>
        <w:rPr>
          <w:rFonts w:hint="eastAsia" w:ascii="仿宋_GB2312" w:eastAsia="仿宋_GB2312"/>
          <w:color w:val="000000"/>
          <w:sz w:val="32"/>
          <w:szCs w:val="32"/>
        </w:rPr>
        <w:t>包括政策文件、政策解读、机构职能、规划计划、财政公开、政府采购、人事信息、数据发布、回应关切、权责清单、建议提案等方面。同时，根据粮食工作特点，将</w:t>
      </w:r>
      <w:r>
        <w:rPr>
          <w:rFonts w:hint="eastAsia" w:ascii="仿宋_GB2312" w:hAnsi="仿宋" w:eastAsia="仿宋_GB2312"/>
          <w:sz w:val="32"/>
          <w:szCs w:val="32"/>
        </w:rPr>
        <w:t>宏观调控、仓储管理、粮食产业、市场体系、监督检查、粮油标准等相关信息及时主动批露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7"/>
        <w:tblW w:w="88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2309"/>
        <w:gridCol w:w="2086"/>
        <w:gridCol w:w="2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-2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-6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4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信息内容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4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35笔</w:t>
            </w:r>
          </w:p>
        </w:tc>
        <w:tc>
          <w:tcPr>
            <w:tcW w:w="4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338.31万元</w:t>
            </w:r>
          </w:p>
        </w:tc>
      </w:tr>
    </w:tbl>
    <w:p>
      <w:pPr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三、收到和处理政府信息公开申请情况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2019年共受理政府信息公开申请1件，</w:t>
      </w:r>
      <w:r>
        <w:rPr>
          <w:rFonts w:hint="eastAsia" w:ascii="仿宋_GB2312" w:eastAsia="仿宋_GB2312"/>
          <w:color w:val="000000"/>
          <w:sz w:val="32"/>
          <w:szCs w:val="32"/>
        </w:rPr>
        <w:t>为</w:t>
      </w:r>
      <w:r>
        <w:rPr>
          <w:rFonts w:ascii="仿宋_GB2312" w:eastAsia="仿宋_GB2312"/>
          <w:color w:val="000000"/>
          <w:sz w:val="32"/>
          <w:szCs w:val="32"/>
        </w:rPr>
        <w:t>信函申请。</w:t>
      </w:r>
      <w:r>
        <w:rPr>
          <w:rFonts w:hint="eastAsia" w:ascii="仿宋_GB2312" w:eastAsia="仿宋_GB2312"/>
          <w:color w:val="000000"/>
          <w:sz w:val="32"/>
          <w:szCs w:val="32"/>
        </w:rPr>
        <w:t>所申请公开的信息不属于粮食工作范围内信息，为本机关不掌握的信息，无法提供。已经依照《条例》规定回复申请人。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7"/>
        <w:tblW w:w="8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762"/>
        <w:gridCol w:w="1904"/>
        <w:gridCol w:w="736"/>
        <w:gridCol w:w="681"/>
        <w:gridCol w:w="681"/>
        <w:gridCol w:w="736"/>
        <w:gridCol w:w="882"/>
        <w:gridCol w:w="650"/>
        <w:gridCol w:w="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1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9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1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  <w:t>自然人</w:t>
            </w: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  <w:t>法人或其他组织</w:t>
            </w:r>
          </w:p>
        </w:tc>
        <w:tc>
          <w:tcPr>
            <w:tcW w:w="62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31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  <w:t>商业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  <w:t>企业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  <w:t>科研机构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  <w:t>社会公益组织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  <w:t>法律服务机构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  <w:t>其他</w:t>
            </w:r>
          </w:p>
        </w:tc>
        <w:tc>
          <w:tcPr>
            <w:tcW w:w="6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三、本年度办理结果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（一）予以公开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（三）不予公开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  <w:t>1.属于国家秘密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  <w:t>2.其他法律行政法规禁止公开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  <w:t>3.危及“三安全一稳定”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  <w:t>4.保护第三方合法权益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  <w:t>5.属于三类内部事务信息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  <w:t>6.属于四类过程性信息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  <w:t>7.属于行政执法案卷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  <w:t>8.属于行政查询事项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（四）无法提供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楷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0"/>
              </w:rPr>
              <w:t>1.本机关不掌握相关政府信息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楷体" w:eastAsia="仿宋_GB2312" w:cs="宋体"/>
                <w:color w:val="333333"/>
                <w:sz w:val="20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0"/>
              </w:rPr>
              <w:t>2.没有现成信息需要另行制作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楷体" w:eastAsia="仿宋_GB2312" w:cs="宋体"/>
                <w:color w:val="333333"/>
                <w:spacing w:val="-2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  <w:t>3.补正后申请内容仍不明确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（五）不予处理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  <w:t>1.信访举报投诉类申请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  <w:t>2.重复申请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  <w:t>3.要求提供公开出版物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  <w:t>4.无正当理由大量反复申请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0"/>
                <w:szCs w:val="22"/>
              </w:rPr>
              <w:t>5.要求行政机关确认或重新出具已获取信息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（六）其他处理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（七）总计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四、结转下年度继续办理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</w:tbl>
    <w:p>
      <w:pPr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四、因政府信息公开工作被申请行政复议和提起诉讼情况</w:t>
      </w:r>
    </w:p>
    <w:p>
      <w:pPr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019</w:t>
      </w:r>
      <w:r>
        <w:rPr>
          <w:rFonts w:hint="eastAsia" w:ascii="仿宋_GB2312" w:eastAsia="仿宋_GB2312"/>
          <w:color w:val="000000"/>
          <w:sz w:val="32"/>
          <w:szCs w:val="32"/>
        </w:rPr>
        <w:t>年，</w:t>
      </w:r>
      <w:r>
        <w:rPr>
          <w:rFonts w:ascii="仿宋_GB2312" w:eastAsia="仿宋_GB2312"/>
          <w:color w:val="000000"/>
          <w:sz w:val="32"/>
          <w:szCs w:val="32"/>
        </w:rPr>
        <w:t>我局没有发生因政府信息公开申请行政复议</w:t>
      </w:r>
      <w:r>
        <w:rPr>
          <w:rFonts w:hint="eastAsia" w:ascii="仿宋_GB2312" w:eastAsia="仿宋_GB2312"/>
          <w:color w:val="000000"/>
          <w:sz w:val="32"/>
          <w:szCs w:val="32"/>
        </w:rPr>
        <w:t>和</w:t>
      </w:r>
      <w:r>
        <w:rPr>
          <w:rFonts w:ascii="仿宋_GB2312" w:eastAsia="仿宋_GB2312"/>
          <w:color w:val="000000"/>
          <w:sz w:val="32"/>
          <w:szCs w:val="32"/>
        </w:rPr>
        <w:t>提起行政诉讼的情况。</w:t>
      </w:r>
    </w:p>
    <w:tbl>
      <w:tblPr>
        <w:tblStyle w:val="7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608"/>
        <w:gridCol w:w="608"/>
        <w:gridCol w:w="608"/>
        <w:gridCol w:w="672"/>
        <w:gridCol w:w="554"/>
        <w:gridCol w:w="610"/>
        <w:gridCol w:w="610"/>
        <w:gridCol w:w="610"/>
        <w:gridCol w:w="614"/>
        <w:gridCol w:w="610"/>
        <w:gridCol w:w="610"/>
        <w:gridCol w:w="610"/>
        <w:gridCol w:w="610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  <w:t>行政复议</w:t>
            </w:r>
          </w:p>
        </w:tc>
        <w:tc>
          <w:tcPr>
            <w:tcW w:w="60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维持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纠正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结果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审结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总计</w:t>
            </w:r>
          </w:p>
        </w:tc>
        <w:tc>
          <w:tcPr>
            <w:tcW w:w="29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未经复议直接起诉</w:t>
            </w:r>
          </w:p>
        </w:tc>
        <w:tc>
          <w:tcPr>
            <w:tcW w:w="30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结果维持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纠正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结果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审结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维持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纠正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审结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0 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0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0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</w:tbl>
    <w:p>
      <w:pPr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五、信息公开工作存在的主要问题和改进措施</w:t>
      </w:r>
    </w:p>
    <w:p>
      <w:pPr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2019年，我们认真</w:t>
      </w:r>
      <w:r>
        <w:rPr>
          <w:rFonts w:hint="eastAsia" w:ascii="仿宋_GB2312" w:eastAsia="仿宋_GB2312"/>
          <w:color w:val="000000"/>
          <w:sz w:val="32"/>
          <w:szCs w:val="32"/>
        </w:rPr>
        <w:t>贯彻落实《条例》新要求，</w:t>
      </w:r>
      <w:r>
        <w:rPr>
          <w:rFonts w:ascii="仿宋_GB2312" w:eastAsia="仿宋_GB2312"/>
          <w:color w:val="000000"/>
          <w:sz w:val="32"/>
          <w:szCs w:val="32"/>
        </w:rPr>
        <w:t>取得了一定成效。但也</w:t>
      </w:r>
      <w:r>
        <w:rPr>
          <w:rFonts w:hint="eastAsia" w:ascii="仿宋_GB2312" w:eastAsia="仿宋_GB2312"/>
          <w:color w:val="000000"/>
          <w:sz w:val="32"/>
          <w:szCs w:val="32"/>
        </w:rPr>
        <w:t>存在一些</w:t>
      </w:r>
      <w:r>
        <w:rPr>
          <w:rFonts w:ascii="仿宋_GB2312" w:eastAsia="仿宋_GB2312"/>
          <w:color w:val="000000"/>
          <w:sz w:val="32"/>
          <w:szCs w:val="32"/>
        </w:rPr>
        <w:t>问题和不足</w:t>
      </w:r>
      <w:r>
        <w:rPr>
          <w:rFonts w:hint="eastAsia" w:ascii="仿宋_GB2312" w:eastAsia="仿宋_GB2312"/>
          <w:color w:val="000000"/>
          <w:sz w:val="32"/>
          <w:szCs w:val="32"/>
        </w:rPr>
        <w:t>，一是公开方式上还需进一步改进和提高。二是信息公开的及时性还有待进一步加强。三是信息公开的便民性需要进一步提高。2</w:t>
      </w:r>
      <w:r>
        <w:rPr>
          <w:rFonts w:ascii="仿宋_GB2312" w:eastAsia="仿宋_GB2312"/>
          <w:color w:val="000000"/>
          <w:sz w:val="32"/>
          <w:szCs w:val="32"/>
        </w:rPr>
        <w:t>020</w:t>
      </w:r>
      <w:r>
        <w:rPr>
          <w:rFonts w:hint="eastAsia" w:ascii="仿宋_GB2312" w:eastAsia="仿宋_GB2312"/>
          <w:color w:val="000000"/>
          <w:sz w:val="32"/>
          <w:szCs w:val="32"/>
        </w:rPr>
        <w:t>年，我们将</w:t>
      </w:r>
      <w:r>
        <w:rPr>
          <w:rFonts w:ascii="仿宋_GB2312" w:eastAsia="仿宋_GB2312"/>
          <w:color w:val="000000"/>
          <w:sz w:val="32"/>
          <w:szCs w:val="32"/>
        </w:rPr>
        <w:t>着力提升政府信息公开工作标准化、规范化程度，推动政府信息公开工作再上新台阶。</w:t>
      </w:r>
    </w:p>
    <w:p>
      <w:pPr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（一）进一步完善信息公开平台</w:t>
      </w:r>
      <w:r>
        <w:rPr>
          <w:rFonts w:hint="eastAsia" w:ascii="仿宋_GB2312" w:eastAsia="仿宋_GB2312"/>
          <w:color w:val="000000"/>
          <w:sz w:val="32"/>
          <w:szCs w:val="32"/>
        </w:rPr>
        <w:t>。增强网站互动性和透明性，提高搜索的准确性和覆盖度；修订完善主动公开目录，做好历史数据的保存迁移，做好工作的有序衔接。</w:t>
      </w:r>
    </w:p>
    <w:p>
      <w:pPr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（二）进一步提升</w:t>
      </w:r>
      <w:r>
        <w:rPr>
          <w:rFonts w:ascii="楷体_GB2312" w:eastAsia="楷体_GB2312"/>
          <w:color w:val="000000"/>
          <w:sz w:val="32"/>
          <w:szCs w:val="32"/>
        </w:rPr>
        <w:t>公开办理</w:t>
      </w:r>
      <w:r>
        <w:rPr>
          <w:rFonts w:hint="eastAsia" w:ascii="楷体_GB2312" w:eastAsia="楷体_GB2312"/>
          <w:color w:val="000000"/>
          <w:sz w:val="32"/>
          <w:szCs w:val="32"/>
        </w:rPr>
        <w:t>质量</w:t>
      </w:r>
      <w:r>
        <w:rPr>
          <w:rFonts w:ascii="楷体_GB2312" w:eastAsia="楷体_GB2312"/>
          <w:color w:val="000000"/>
          <w:sz w:val="32"/>
          <w:szCs w:val="32"/>
        </w:rPr>
        <w:t>。</w:t>
      </w:r>
      <w:r>
        <w:rPr>
          <w:rFonts w:ascii="仿宋_GB2312" w:eastAsia="仿宋_GB2312"/>
          <w:color w:val="000000"/>
          <w:sz w:val="32"/>
          <w:szCs w:val="32"/>
        </w:rPr>
        <w:t>进一步规范内部审核和办理流程，坚持审慎、合法原则，提升依申请公开答复工作水平和服务能力。</w:t>
      </w:r>
    </w:p>
    <w:p>
      <w:pPr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（三）进一步规范</w:t>
      </w:r>
      <w:r>
        <w:rPr>
          <w:rFonts w:ascii="楷体_GB2312" w:eastAsia="楷体_GB2312"/>
          <w:color w:val="000000"/>
          <w:sz w:val="32"/>
          <w:szCs w:val="32"/>
        </w:rPr>
        <w:t>政策执行情况公开</w:t>
      </w:r>
      <w:r>
        <w:rPr>
          <w:rFonts w:ascii="仿宋_GB2312" w:eastAsia="仿宋_GB2312"/>
          <w:color w:val="000000"/>
          <w:sz w:val="32"/>
          <w:szCs w:val="32"/>
        </w:rPr>
        <w:t>。依托政务公开各种渠道，做好政务公开后续工作，注意收集社会各方对有关政策实施情况的反</w:t>
      </w:r>
      <w:r>
        <w:rPr>
          <w:rFonts w:hint="eastAsia" w:ascii="仿宋_GB2312" w:eastAsia="仿宋_GB2312"/>
          <w:color w:val="000000"/>
          <w:sz w:val="32"/>
          <w:szCs w:val="32"/>
        </w:rPr>
        <w:t>映</w:t>
      </w:r>
      <w:r>
        <w:rPr>
          <w:rFonts w:ascii="仿宋_GB2312" w:eastAsia="仿宋_GB2312"/>
          <w:color w:val="000000"/>
          <w:sz w:val="32"/>
          <w:szCs w:val="32"/>
        </w:rPr>
        <w:t>，向群众广泛征求意见建议，吸纳合理意见，为推进政策实施、完善政策提供依据。</w:t>
      </w:r>
    </w:p>
    <w:p>
      <w:pPr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六、其他需要报告的事项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重点领域公开所涉及的“放管服”改革信息、审计发现问题整改落实情况、脱贫攻坚信息、公共资源配置（财政预决算、政府采购）、涉粮项目安排等信息，通过门户网站予以公开。主办省政协第十二届二次会议第20190355号提案，办理情况已按要求在省粮食局门户网站公开。</w:t>
      </w:r>
    </w:p>
    <w:p>
      <w:pPr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湖北省粮食局</w:t>
      </w:r>
    </w:p>
    <w:p>
      <w:pPr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  <w:sectPr>
          <w:pgSz w:w="11906" w:h="16838"/>
          <w:pgMar w:top="2098" w:right="1531" w:bottom="2098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2020年1月10日</w:t>
      </w:r>
    </w:p>
    <w:p>
      <w:pPr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年报数据汇总表格</w:t>
      </w:r>
    </w:p>
    <w:p>
      <w:pPr>
        <w:widowControl/>
        <w:spacing w:after="240" w:line="432" w:lineRule="auto"/>
        <w:ind w:firstLine="480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表1：主动公开政府信息情况</w:t>
      </w:r>
    </w:p>
    <w:p>
      <w:pPr>
        <w:widowControl/>
        <w:spacing w:after="240" w:line="432" w:lineRule="auto"/>
        <w:ind w:firstLine="48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报送单位：湖北省粮食局</w:t>
      </w:r>
    </w:p>
    <w:tbl>
      <w:tblPr>
        <w:tblStyle w:val="7"/>
        <w:tblW w:w="127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4"/>
        <w:gridCol w:w="3335"/>
        <w:gridCol w:w="3013"/>
        <w:gridCol w:w="2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3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本年新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制作数量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本年新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公开数量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规章</w:t>
            </w:r>
          </w:p>
        </w:tc>
        <w:tc>
          <w:tcPr>
            <w:tcW w:w="3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规范性文件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171</w:t>
            </w: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3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-2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color w:val="333333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32"/>
                <w:szCs w:val="32"/>
              </w:rPr>
              <w:t>其他对外管理服务事项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-6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3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3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5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5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信息内容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采购项目数量</w:t>
            </w:r>
          </w:p>
        </w:tc>
        <w:tc>
          <w:tcPr>
            <w:tcW w:w="5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3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政府集中采购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35笔</w:t>
            </w:r>
          </w:p>
        </w:tc>
        <w:tc>
          <w:tcPr>
            <w:tcW w:w="5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338.31万元</w:t>
            </w:r>
          </w:p>
        </w:tc>
      </w:tr>
    </w:tbl>
    <w:p>
      <w:pPr>
        <w:widowControl/>
        <w:spacing w:line="432" w:lineRule="auto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pacing w:after="240" w:line="432" w:lineRule="auto"/>
        <w:ind w:firstLine="480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表2：收到和处理政府信息公开申请情况</w:t>
      </w:r>
    </w:p>
    <w:tbl>
      <w:tblPr>
        <w:tblStyle w:val="7"/>
        <w:tblW w:w="13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230"/>
        <w:gridCol w:w="3069"/>
        <w:gridCol w:w="1188"/>
        <w:gridCol w:w="1100"/>
        <w:gridCol w:w="1100"/>
        <w:gridCol w:w="1188"/>
        <w:gridCol w:w="1425"/>
        <w:gridCol w:w="1042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自然人</w:t>
            </w:r>
          </w:p>
        </w:tc>
        <w:tc>
          <w:tcPr>
            <w:tcW w:w="58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法人或其他组织</w:t>
            </w:r>
          </w:p>
        </w:tc>
        <w:tc>
          <w:tcPr>
            <w:tcW w:w="10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0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商业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企业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科研机构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社会公益组织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法律服务机构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其他</w:t>
            </w:r>
          </w:p>
        </w:tc>
        <w:tc>
          <w:tcPr>
            <w:tcW w:w="10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三、本年度办理结果</w:t>
            </w:r>
          </w:p>
        </w:tc>
        <w:tc>
          <w:tcPr>
            <w:tcW w:w="4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（一）予以公开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（三）不予公开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1.属于国家秘密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18"/>
                <w:szCs w:val="18"/>
              </w:rPr>
              <w:t>2.其他法律行政法规禁止公开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pacing w:val="-20"/>
                <w:sz w:val="24"/>
                <w:szCs w:val="24"/>
              </w:rPr>
              <w:t>3.危及“三安全一稳定”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4.保护第三方合法权益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pacing w:val="-20"/>
                <w:sz w:val="24"/>
                <w:szCs w:val="24"/>
              </w:rPr>
              <w:t>5.属于三类内部事务信息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6.属于四类过程性信息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7.属于行政执法案卷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8.属于行政查询事项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（四）无法提供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楷体" w:eastAsia="仿宋_GB2312" w:cs="宋体"/>
                <w:color w:val="333333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0"/>
              </w:rPr>
              <w:t>1.本机关不掌握相关政府信息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楷体" w:eastAsia="仿宋_GB2312" w:cs="宋体"/>
                <w:color w:val="333333"/>
                <w:sz w:val="20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0"/>
              </w:rPr>
              <w:t>2.没有现成信息需要另行制作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楷体" w:eastAsia="仿宋_GB2312" w:cs="宋体"/>
                <w:color w:val="333333"/>
                <w:spacing w:val="-2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pacing w:val="-20"/>
                <w:sz w:val="24"/>
                <w:szCs w:val="24"/>
              </w:rPr>
              <w:t>3.补正后申请内容仍不明确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（五）不予处理</w:t>
            </w: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1.信访举报投诉类申请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2.重复申请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3.要求提供公开出版物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pacing w:val="-20"/>
                <w:sz w:val="24"/>
                <w:szCs w:val="24"/>
              </w:rPr>
              <w:t>4.无正当理由大量反复申请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（六）其他处理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333333"/>
                <w:sz w:val="24"/>
                <w:szCs w:val="24"/>
              </w:rPr>
              <w:t>（七）总计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5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四、结转下年度继续办理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eastAsia="仿宋_GB2312"/>
                <w:color w:val="333333"/>
                <w:sz w:val="24"/>
                <w:szCs w:val="24"/>
              </w:rPr>
              <w:t>0</w:t>
            </w:r>
          </w:p>
        </w:tc>
      </w:tr>
    </w:tbl>
    <w:p>
      <w:pPr>
        <w:widowControl/>
        <w:spacing w:line="432" w:lineRule="auto"/>
        <w:ind w:firstLine="480"/>
        <w:jc w:val="center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表3：行政复议、行政诉讼情况</w:t>
      </w:r>
    </w:p>
    <w:tbl>
      <w:tblPr>
        <w:tblStyle w:val="7"/>
        <w:tblW w:w="12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863"/>
        <w:gridCol w:w="863"/>
        <w:gridCol w:w="863"/>
        <w:gridCol w:w="943"/>
        <w:gridCol w:w="786"/>
        <w:gridCol w:w="865"/>
        <w:gridCol w:w="865"/>
        <w:gridCol w:w="865"/>
        <w:gridCol w:w="865"/>
        <w:gridCol w:w="865"/>
        <w:gridCol w:w="865"/>
        <w:gridCol w:w="865"/>
        <w:gridCol w:w="86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行政复议</w:t>
            </w:r>
          </w:p>
        </w:tc>
        <w:tc>
          <w:tcPr>
            <w:tcW w:w="85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维持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纠正</w:t>
            </w: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结果</w:t>
            </w: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审结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总计</w:t>
            </w: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未经复议直接起诉</w:t>
            </w:r>
          </w:p>
        </w:tc>
        <w:tc>
          <w:tcPr>
            <w:tcW w:w="43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结果维持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纠正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结果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审结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维持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纠正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审结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0 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0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0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 0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</w:tbl>
    <w:p>
      <w:pPr>
        <w:snapToGrid w:val="0"/>
        <w:spacing w:line="336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992" w:gutter="0"/>
      <w:cols w:space="720" w:num="1"/>
      <w:docGrid w:type="linesAndChar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pict>
        <v:shape id="文本框 205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28"/>
                    <w:szCs w:val="28"/>
                  </w:rPr>
                </w:pPr>
                <w:r>
                  <w:rPr>
                    <w:rStyle w:val="10"/>
                    <w:sz w:val="28"/>
                    <w:szCs w:val="28"/>
                  </w:rPr>
                  <w:t xml:space="preserve">— </w:t>
                </w:r>
                <w:r>
                  <w:rPr>
                    <w:rFonts w:eastAsia="方正小标宋_GBK"/>
                    <w:sz w:val="28"/>
                    <w:szCs w:val="28"/>
                  </w:rPr>
                  <w:fldChar w:fldCharType="begin"/>
                </w:r>
                <w:r>
                  <w:rPr>
                    <w:rFonts w:eastAsia="方正小标宋_GBK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eastAsia="方正小标宋_GBK"/>
                    <w:sz w:val="28"/>
                    <w:szCs w:val="28"/>
                  </w:rPr>
                  <w:fldChar w:fldCharType="separate"/>
                </w:r>
                <w:r>
                  <w:rPr>
                    <w:rFonts w:eastAsia="方正小标宋_GBK"/>
                    <w:sz w:val="28"/>
                    <w:szCs w:val="28"/>
                  </w:rPr>
                  <w:t>8</w:t>
                </w:r>
                <w:r>
                  <w:rPr>
                    <w:rFonts w:eastAsia="方正小标宋_GBK"/>
                    <w:sz w:val="28"/>
                    <w:szCs w:val="28"/>
                  </w:rPr>
                  <w:fldChar w:fldCharType="end"/>
                </w:r>
                <w:r>
                  <w:rPr>
                    <w:rStyle w:val="10"/>
                    <w:sz w:val="28"/>
                    <w:szCs w:val="28"/>
                  </w:rPr>
                  <w:t xml:space="preserve"> — 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0BAC"/>
    <w:rsid w:val="0002668E"/>
    <w:rsid w:val="00046A70"/>
    <w:rsid w:val="000B34FD"/>
    <w:rsid w:val="000D1C5B"/>
    <w:rsid w:val="000E495B"/>
    <w:rsid w:val="000E588A"/>
    <w:rsid w:val="0010447E"/>
    <w:rsid w:val="0010587A"/>
    <w:rsid w:val="00161192"/>
    <w:rsid w:val="001C1DFD"/>
    <w:rsid w:val="00214CB5"/>
    <w:rsid w:val="0026489E"/>
    <w:rsid w:val="00270288"/>
    <w:rsid w:val="002E4855"/>
    <w:rsid w:val="00306945"/>
    <w:rsid w:val="00317EAF"/>
    <w:rsid w:val="003C1F7A"/>
    <w:rsid w:val="003F5197"/>
    <w:rsid w:val="0042783E"/>
    <w:rsid w:val="004613AC"/>
    <w:rsid w:val="00472A15"/>
    <w:rsid w:val="0048241B"/>
    <w:rsid w:val="00502226"/>
    <w:rsid w:val="00502358"/>
    <w:rsid w:val="00512DA0"/>
    <w:rsid w:val="0051567E"/>
    <w:rsid w:val="00550985"/>
    <w:rsid w:val="005C4D3D"/>
    <w:rsid w:val="005E0FB3"/>
    <w:rsid w:val="005E4AA0"/>
    <w:rsid w:val="006354A6"/>
    <w:rsid w:val="0066129A"/>
    <w:rsid w:val="0067101B"/>
    <w:rsid w:val="006D1B24"/>
    <w:rsid w:val="007563B5"/>
    <w:rsid w:val="007F7491"/>
    <w:rsid w:val="00812844"/>
    <w:rsid w:val="00927609"/>
    <w:rsid w:val="00997CC7"/>
    <w:rsid w:val="009D7659"/>
    <w:rsid w:val="009E7BCA"/>
    <w:rsid w:val="00A00BAC"/>
    <w:rsid w:val="00A936FF"/>
    <w:rsid w:val="00AB3B9F"/>
    <w:rsid w:val="00AB6576"/>
    <w:rsid w:val="00B464BE"/>
    <w:rsid w:val="00B51670"/>
    <w:rsid w:val="00B83936"/>
    <w:rsid w:val="00BA6C22"/>
    <w:rsid w:val="00BD3CB1"/>
    <w:rsid w:val="00C14561"/>
    <w:rsid w:val="00C25FAA"/>
    <w:rsid w:val="00C4671D"/>
    <w:rsid w:val="00C960A3"/>
    <w:rsid w:val="00CA014D"/>
    <w:rsid w:val="00D81CA2"/>
    <w:rsid w:val="00DC7BC9"/>
    <w:rsid w:val="00DE33DD"/>
    <w:rsid w:val="00E041F1"/>
    <w:rsid w:val="00E30D64"/>
    <w:rsid w:val="00E64E37"/>
    <w:rsid w:val="00E74FB7"/>
    <w:rsid w:val="00E941A5"/>
    <w:rsid w:val="00F45D8C"/>
    <w:rsid w:val="00F55A6B"/>
    <w:rsid w:val="00F8078E"/>
    <w:rsid w:val="00FA5F8D"/>
    <w:rsid w:val="00FD582C"/>
    <w:rsid w:val="028D1DFE"/>
    <w:rsid w:val="02A226D2"/>
    <w:rsid w:val="03A734D3"/>
    <w:rsid w:val="03F769FF"/>
    <w:rsid w:val="04AB571C"/>
    <w:rsid w:val="04F318F5"/>
    <w:rsid w:val="055270C8"/>
    <w:rsid w:val="061265AA"/>
    <w:rsid w:val="062153C6"/>
    <w:rsid w:val="076514F3"/>
    <w:rsid w:val="07696D33"/>
    <w:rsid w:val="07D523B0"/>
    <w:rsid w:val="07E3122D"/>
    <w:rsid w:val="09910432"/>
    <w:rsid w:val="0AB013BA"/>
    <w:rsid w:val="0AD802FE"/>
    <w:rsid w:val="0B252799"/>
    <w:rsid w:val="0B2537AF"/>
    <w:rsid w:val="0B8F159B"/>
    <w:rsid w:val="0C807554"/>
    <w:rsid w:val="0EEF04B1"/>
    <w:rsid w:val="0F4C6F9D"/>
    <w:rsid w:val="0F5E52D9"/>
    <w:rsid w:val="0FB20604"/>
    <w:rsid w:val="0FEE3E78"/>
    <w:rsid w:val="104A0577"/>
    <w:rsid w:val="11FC2256"/>
    <w:rsid w:val="12135DD7"/>
    <w:rsid w:val="12CA07A8"/>
    <w:rsid w:val="1321784F"/>
    <w:rsid w:val="154C48BF"/>
    <w:rsid w:val="154F155F"/>
    <w:rsid w:val="16687847"/>
    <w:rsid w:val="16BB3ED0"/>
    <w:rsid w:val="179E6D78"/>
    <w:rsid w:val="18956D1C"/>
    <w:rsid w:val="18FC0867"/>
    <w:rsid w:val="196E383E"/>
    <w:rsid w:val="1AEB419C"/>
    <w:rsid w:val="1C175282"/>
    <w:rsid w:val="1C52331A"/>
    <w:rsid w:val="1D004889"/>
    <w:rsid w:val="1D5824FA"/>
    <w:rsid w:val="1E7E4480"/>
    <w:rsid w:val="1F924170"/>
    <w:rsid w:val="1FD344BC"/>
    <w:rsid w:val="204B3CE4"/>
    <w:rsid w:val="208062A1"/>
    <w:rsid w:val="21386B6F"/>
    <w:rsid w:val="223F4A92"/>
    <w:rsid w:val="230F1E8C"/>
    <w:rsid w:val="23C75BC1"/>
    <w:rsid w:val="23F22A50"/>
    <w:rsid w:val="25872285"/>
    <w:rsid w:val="263559CD"/>
    <w:rsid w:val="2642069C"/>
    <w:rsid w:val="269F5A48"/>
    <w:rsid w:val="28043EB6"/>
    <w:rsid w:val="28104DFC"/>
    <w:rsid w:val="28C4474A"/>
    <w:rsid w:val="29815932"/>
    <w:rsid w:val="29DF4E16"/>
    <w:rsid w:val="2BBD5217"/>
    <w:rsid w:val="2C9D624C"/>
    <w:rsid w:val="2D10338B"/>
    <w:rsid w:val="2D4208DB"/>
    <w:rsid w:val="2D8D15B1"/>
    <w:rsid w:val="2DDF4277"/>
    <w:rsid w:val="2EED67C6"/>
    <w:rsid w:val="2F3E4530"/>
    <w:rsid w:val="302644EB"/>
    <w:rsid w:val="30AC5C49"/>
    <w:rsid w:val="30E75475"/>
    <w:rsid w:val="30FD6A39"/>
    <w:rsid w:val="318E0CE8"/>
    <w:rsid w:val="334017C2"/>
    <w:rsid w:val="33CD08FC"/>
    <w:rsid w:val="33D72606"/>
    <w:rsid w:val="341352EE"/>
    <w:rsid w:val="34D141B4"/>
    <w:rsid w:val="356F2E39"/>
    <w:rsid w:val="357607A3"/>
    <w:rsid w:val="35F95F77"/>
    <w:rsid w:val="37107427"/>
    <w:rsid w:val="39287110"/>
    <w:rsid w:val="3ACC361A"/>
    <w:rsid w:val="3BD86D02"/>
    <w:rsid w:val="3C007A2D"/>
    <w:rsid w:val="3C787D9B"/>
    <w:rsid w:val="3D1F06D3"/>
    <w:rsid w:val="3F667714"/>
    <w:rsid w:val="3F7E0EC5"/>
    <w:rsid w:val="3FAD37D7"/>
    <w:rsid w:val="40AD19BE"/>
    <w:rsid w:val="40C14141"/>
    <w:rsid w:val="40CA6EFD"/>
    <w:rsid w:val="411D0118"/>
    <w:rsid w:val="421A553F"/>
    <w:rsid w:val="4255690C"/>
    <w:rsid w:val="43084CC8"/>
    <w:rsid w:val="43A91B30"/>
    <w:rsid w:val="43C432F4"/>
    <w:rsid w:val="44CB617E"/>
    <w:rsid w:val="44D26896"/>
    <w:rsid w:val="47A2139B"/>
    <w:rsid w:val="47A723DF"/>
    <w:rsid w:val="47FD0B52"/>
    <w:rsid w:val="48A162A7"/>
    <w:rsid w:val="48B66700"/>
    <w:rsid w:val="48E809B9"/>
    <w:rsid w:val="49AE6612"/>
    <w:rsid w:val="49D8660A"/>
    <w:rsid w:val="4A451555"/>
    <w:rsid w:val="4A83585D"/>
    <w:rsid w:val="4B2036A1"/>
    <w:rsid w:val="4C004069"/>
    <w:rsid w:val="4C5B431F"/>
    <w:rsid w:val="4D094EE1"/>
    <w:rsid w:val="4D2A2251"/>
    <w:rsid w:val="4D56681C"/>
    <w:rsid w:val="4D79329A"/>
    <w:rsid w:val="4E20111A"/>
    <w:rsid w:val="4F322FF4"/>
    <w:rsid w:val="4F7258C3"/>
    <w:rsid w:val="4FC303CB"/>
    <w:rsid w:val="505651BB"/>
    <w:rsid w:val="50A5212B"/>
    <w:rsid w:val="50F75988"/>
    <w:rsid w:val="516F1633"/>
    <w:rsid w:val="52181935"/>
    <w:rsid w:val="53E5737C"/>
    <w:rsid w:val="544C3989"/>
    <w:rsid w:val="549768C7"/>
    <w:rsid w:val="560A2323"/>
    <w:rsid w:val="571F331D"/>
    <w:rsid w:val="5861217E"/>
    <w:rsid w:val="58D452EC"/>
    <w:rsid w:val="5984799B"/>
    <w:rsid w:val="59E07775"/>
    <w:rsid w:val="5A2E6541"/>
    <w:rsid w:val="5A4F39A3"/>
    <w:rsid w:val="5C1278E3"/>
    <w:rsid w:val="5C7847B2"/>
    <w:rsid w:val="5E241C3E"/>
    <w:rsid w:val="5E7431BA"/>
    <w:rsid w:val="5E7A4A91"/>
    <w:rsid w:val="5EA70659"/>
    <w:rsid w:val="62E37526"/>
    <w:rsid w:val="63214148"/>
    <w:rsid w:val="63475FCE"/>
    <w:rsid w:val="64AE253D"/>
    <w:rsid w:val="65F56DC0"/>
    <w:rsid w:val="670F1F99"/>
    <w:rsid w:val="67C83D72"/>
    <w:rsid w:val="68222AF2"/>
    <w:rsid w:val="6918326D"/>
    <w:rsid w:val="69872290"/>
    <w:rsid w:val="699536FF"/>
    <w:rsid w:val="6A131AA1"/>
    <w:rsid w:val="6ADB2C0C"/>
    <w:rsid w:val="6B2805DD"/>
    <w:rsid w:val="6B8E435E"/>
    <w:rsid w:val="6BC028E3"/>
    <w:rsid w:val="6D5A2A7A"/>
    <w:rsid w:val="6E9145E7"/>
    <w:rsid w:val="6F590C5B"/>
    <w:rsid w:val="70B26C3A"/>
    <w:rsid w:val="71CA1991"/>
    <w:rsid w:val="71DA68FC"/>
    <w:rsid w:val="71F1507B"/>
    <w:rsid w:val="72574CA9"/>
    <w:rsid w:val="72DE63A6"/>
    <w:rsid w:val="74242EA4"/>
    <w:rsid w:val="74C724BA"/>
    <w:rsid w:val="75A248CC"/>
    <w:rsid w:val="75DE2E68"/>
    <w:rsid w:val="76AC20B2"/>
    <w:rsid w:val="772A7C76"/>
    <w:rsid w:val="781D072E"/>
    <w:rsid w:val="78B92367"/>
    <w:rsid w:val="78F77DC1"/>
    <w:rsid w:val="7D77645A"/>
    <w:rsid w:val="7D8D205E"/>
    <w:rsid w:val="7F9C175D"/>
    <w:rsid w:val="7FB1351A"/>
    <w:rsid w:val="7FB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  <w:lang w:val="zh-CN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b/>
      <w:kern w:val="0"/>
      <w:sz w:val="36"/>
      <w:szCs w:val="36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qFormat/>
    <w:uiPriority w:val="0"/>
    <w:rPr>
      <w:i/>
    </w:rPr>
  </w:style>
  <w:style w:type="character" w:styleId="12">
    <w:name w:val="line number"/>
    <w:basedOn w:val="8"/>
    <w:qFormat/>
    <w:uiPriority w:val="0"/>
  </w:style>
  <w:style w:type="character" w:styleId="13">
    <w:name w:val="Hyperlink"/>
    <w:basedOn w:val="8"/>
    <w:qFormat/>
    <w:uiPriority w:val="0"/>
    <w:rPr>
      <w:color w:val="0000FF"/>
      <w:u w:val="singl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_Style 2"/>
    <w:basedOn w:val="1"/>
    <w:qFormat/>
    <w:uiPriority w:val="34"/>
    <w:pPr>
      <w:ind w:firstLine="420" w:firstLineChars="200"/>
    </w:pPr>
  </w:style>
  <w:style w:type="paragraph" w:customStyle="1" w:styleId="16">
    <w:name w:val="p0"/>
    <w:basedOn w:val="1"/>
    <w:qFormat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529</Words>
  <Characters>3021</Characters>
  <Lines>25</Lines>
  <Paragraphs>7</Paragraphs>
  <TotalTime>2</TotalTime>
  <ScaleCrop>false</ScaleCrop>
  <LinksUpToDate>false</LinksUpToDate>
  <CharactersWithSpaces>3543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2020-01-10T04:54:00Z</dcterms:created>
  <dc:creator>Administrator</dc:creator>
  <cp:lastModifiedBy>张文俊</cp:lastModifiedBy>
  <cp:lastPrinted>2019-12-31T09:18:00Z</cp:lastPrinted>
  <dcterms:modified xsi:type="dcterms:W3CDTF">2020-01-10T06:57:48Z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